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4B7A4" w14:textId="77777777" w:rsidR="00683122" w:rsidRPr="00406E36" w:rsidRDefault="00683122" w:rsidP="00683122">
      <w:pPr>
        <w:pStyle w:val="Header"/>
        <w:jc w:val="center"/>
        <w:rPr>
          <w:b/>
          <w:color w:val="0070C0"/>
          <w:sz w:val="56"/>
          <w:szCs w:val="56"/>
          <w:u w:val="single"/>
        </w:rPr>
      </w:pPr>
      <w:bookmarkStart w:id="0" w:name="_Hlk198629164"/>
      <w:r>
        <w:rPr>
          <w:noProof/>
          <w:sz w:val="56"/>
          <w:szCs w:val="56"/>
          <w:lang w:eastAsia="en-AU"/>
        </w:rPr>
        <w:object w:dxaOrig="1440" w:dyaOrig="1440" w14:anchorId="570E7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1.95pt;margin-top:-15.25pt;width:44.45pt;height:45.9pt;z-index:251658240">
            <v:imagedata r:id="rId5" o:title=""/>
          </v:shape>
          <o:OLEObject Type="Embed" ProgID="PBrush" ShapeID="_x0000_s1026" DrawAspect="Content" ObjectID="_1825576128" r:id="rId6"/>
        </w:object>
      </w:r>
      <w:r>
        <w:rPr>
          <w:noProof/>
          <w:sz w:val="56"/>
          <w:szCs w:val="56"/>
          <w:lang w:eastAsia="en-AU"/>
        </w:rPr>
        <w:object w:dxaOrig="1440" w:dyaOrig="1440" w14:anchorId="624FEBD0">
          <v:shape id="_x0000_s1027" type="#_x0000_t75" style="position:absolute;left:0;text-align:left;margin-left:3.5pt;margin-top:-14.65pt;width:44.45pt;height:45.9pt;z-index:251658240">
            <v:imagedata r:id="rId5" o:title=""/>
          </v:shape>
          <o:OLEObject Type="Embed" ProgID="PBrush" ShapeID="_x0000_s1027" DrawAspect="Content" ObjectID="_1825576129" r:id="rId7"/>
        </w:object>
      </w:r>
      <w:r w:rsidRPr="00406E36">
        <w:rPr>
          <w:b/>
          <w:color w:val="0070C0"/>
          <w:sz w:val="56"/>
          <w:szCs w:val="56"/>
          <w:u w:val="single"/>
        </w:rPr>
        <w:t>Manilla Community Preschool</w:t>
      </w:r>
    </w:p>
    <w:bookmarkEnd w:id="0"/>
    <w:p w14:paraId="034EBB5F" w14:textId="77777777" w:rsidR="00683122" w:rsidRDefault="00683122" w:rsidP="00683122">
      <w:pPr>
        <w:rPr>
          <w:b/>
          <w:bCs/>
        </w:rPr>
      </w:pPr>
    </w:p>
    <w:p w14:paraId="6B9A857E" w14:textId="1E43CE69" w:rsidR="00683122" w:rsidRPr="00683122" w:rsidRDefault="00683122" w:rsidP="006E0E9A">
      <w:pPr>
        <w:jc w:val="center"/>
        <w:rPr>
          <w:b/>
          <w:bCs/>
          <w:sz w:val="36"/>
          <w:szCs w:val="36"/>
        </w:rPr>
      </w:pPr>
      <w:r w:rsidRPr="00683122">
        <w:rPr>
          <w:b/>
          <w:bCs/>
          <w:sz w:val="36"/>
          <w:szCs w:val="36"/>
        </w:rPr>
        <w:t>Safe Outdoor and Heat Management Policy</w:t>
      </w:r>
    </w:p>
    <w:p w14:paraId="22002C16" w14:textId="77777777" w:rsidR="00683122" w:rsidRPr="00683122" w:rsidRDefault="00683122" w:rsidP="00683122">
      <w:r w:rsidRPr="00683122">
        <w:rPr>
          <w:i/>
          <w:iCs/>
        </w:rPr>
        <w:t>(Aligned with the Education and Care Services National Law and Regulation (NSW), National Quality Standard, and Early Years Learning Framework)</w:t>
      </w:r>
    </w:p>
    <w:p w14:paraId="7BA7FE76" w14:textId="5397ACC9" w:rsidR="00683122" w:rsidRPr="00683122" w:rsidRDefault="00683122" w:rsidP="00683122">
      <w:r w:rsidRPr="00683122">
        <w:t>| Policy Date:</w:t>
      </w:r>
      <w:r>
        <w:t xml:space="preserve"> 25.11.2025</w:t>
      </w:r>
      <w:r w:rsidRPr="00683122">
        <w:t xml:space="preserve"> | Review Date: </w:t>
      </w:r>
      <w:r>
        <w:t>25.</w:t>
      </w:r>
      <w:r w:rsidR="00B16CFC">
        <w:t>11.</w:t>
      </w:r>
      <w:r>
        <w:t>2026</w:t>
      </w:r>
      <w:r w:rsidRPr="00683122">
        <w:t xml:space="preserve"> | NQS Area: QA 2 &amp; QA 3 |</w:t>
      </w:r>
    </w:p>
    <w:p w14:paraId="76D9F717" w14:textId="77777777" w:rsidR="00683122" w:rsidRPr="00683122" w:rsidRDefault="00683122" w:rsidP="00683122">
      <w:pPr>
        <w:rPr>
          <w:b/>
          <w:bCs/>
        </w:rPr>
      </w:pPr>
      <w:r w:rsidRPr="00683122">
        <w:rPr>
          <w:b/>
          <w:bCs/>
        </w:rPr>
        <w:t>1. Policy Statement &amp; Commitment</w:t>
      </w:r>
    </w:p>
    <w:p w14:paraId="22E921DF" w14:textId="77777777" w:rsidR="00683122" w:rsidRPr="00683122" w:rsidRDefault="00683122" w:rsidP="00683122">
      <w:r w:rsidRPr="00683122">
        <w:t>Manilla Community Preschool is committed to providing a safe, healthy, and engaging outdoor environment that maximises children's opportunities to connect with nature, while actively managing risks associated with sun exposure and extreme heat. We ensure that children's right to play and explore is balanced with our duty of care to protect them from harm, including heat-related illness and skin damage.</w:t>
      </w:r>
    </w:p>
    <w:p w14:paraId="64C52CDE" w14:textId="77777777" w:rsidR="00683122" w:rsidRPr="00683122" w:rsidRDefault="00683122" w:rsidP="00683122">
      <w:pPr>
        <w:rPr>
          <w:b/>
          <w:bCs/>
        </w:rPr>
      </w:pPr>
      <w:r w:rsidRPr="00683122">
        <w:rPr>
          <w:b/>
          <w:bCs/>
        </w:rPr>
        <w:t>2. General Sun Safety Protocol (UV Index Focus)</w:t>
      </w:r>
    </w:p>
    <w:p w14:paraId="7B573E13" w14:textId="77777777" w:rsidR="00683122" w:rsidRPr="00683122" w:rsidRDefault="00683122" w:rsidP="00683122">
      <w:r w:rsidRPr="00683122">
        <w:t xml:space="preserve">Our core sun safety practice is based on the </w:t>
      </w:r>
      <w:r w:rsidRPr="00683122">
        <w:rPr>
          <w:b/>
          <w:bCs/>
        </w:rPr>
        <w:t>UV Index (Ultra Violet Index)</w:t>
      </w:r>
      <w:r w:rsidRPr="00683122">
        <w:t xml:space="preserve">, not solely air temperature. Sun protection measures are implemented when the UV Index is predicted to reach </w:t>
      </w:r>
      <w:r w:rsidRPr="00683122">
        <w:rPr>
          <w:b/>
          <w:bCs/>
        </w:rPr>
        <w:t>3 or above</w:t>
      </w:r>
      <w:r w:rsidRPr="00683122">
        <w:t>.</w:t>
      </w:r>
    </w:p>
    <w:p w14:paraId="5CF561A7" w14:textId="77777777" w:rsidR="00683122" w:rsidRPr="00683122" w:rsidRDefault="00683122" w:rsidP="00683122">
      <w:r w:rsidRPr="00683122">
        <w:t>The UV Index will be checked daily via the Bureau of Meteorology (BOM) or the Cancer Council's SunSmart app.</w:t>
      </w:r>
    </w:p>
    <w:tbl>
      <w:tblPr>
        <w:tblStyle w:val="PlainTable1"/>
        <w:tblW w:w="0" w:type="auto"/>
        <w:tblLook w:val="04A0" w:firstRow="1" w:lastRow="0" w:firstColumn="1" w:lastColumn="0" w:noHBand="0" w:noVBand="1"/>
      </w:tblPr>
      <w:tblGrid>
        <w:gridCol w:w="1207"/>
        <w:gridCol w:w="7809"/>
      </w:tblGrid>
      <w:tr w:rsidR="00683122" w:rsidRPr="00683122" w14:paraId="5EEF3FE9" w14:textId="77777777" w:rsidTr="00F009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B01C28" w14:textId="77777777" w:rsidR="00683122" w:rsidRPr="00683122" w:rsidRDefault="00683122" w:rsidP="00F0094C">
            <w:pPr>
              <w:spacing w:after="160" w:line="278" w:lineRule="auto"/>
              <w:jc w:val="center"/>
            </w:pPr>
            <w:r w:rsidRPr="00683122">
              <w:t>UV Index</w:t>
            </w:r>
          </w:p>
        </w:tc>
        <w:tc>
          <w:tcPr>
            <w:tcW w:w="0" w:type="auto"/>
            <w:vAlign w:val="center"/>
            <w:hideMark/>
          </w:tcPr>
          <w:p w14:paraId="1B35183B" w14:textId="77777777" w:rsidR="00683122" w:rsidRPr="00683122" w:rsidRDefault="00683122" w:rsidP="00F0094C">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683122">
              <w:t>Required Action (All Staff/Children/Visitors)</w:t>
            </w:r>
          </w:p>
        </w:tc>
      </w:tr>
      <w:tr w:rsidR="00683122" w:rsidRPr="00683122" w14:paraId="2B3E0A0B" w14:textId="77777777" w:rsidTr="00F0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73BB7E" w14:textId="16BE33E2" w:rsidR="00683122" w:rsidRPr="00683122" w:rsidRDefault="00683122" w:rsidP="00F0094C">
            <w:pPr>
              <w:spacing w:after="160" w:line="278" w:lineRule="auto"/>
              <w:jc w:val="center"/>
              <w:rPr>
                <w:b w:val="0"/>
                <w:bCs w:val="0"/>
              </w:rPr>
            </w:pPr>
            <w:r w:rsidRPr="00683122">
              <w:rPr>
                <w:b w:val="0"/>
                <w:bCs w:val="0"/>
              </w:rPr>
              <w:t xml:space="preserve">3 and </w:t>
            </w:r>
            <w:r w:rsidR="00F0094C" w:rsidRPr="00F0094C">
              <w:rPr>
                <w:b w:val="0"/>
                <w:bCs w:val="0"/>
              </w:rPr>
              <w:t>above</w:t>
            </w:r>
          </w:p>
        </w:tc>
        <w:tc>
          <w:tcPr>
            <w:tcW w:w="0" w:type="auto"/>
            <w:vAlign w:val="center"/>
            <w:hideMark/>
          </w:tcPr>
          <w:p w14:paraId="41EC8F30" w14:textId="6D9E3A32" w:rsidR="00683122" w:rsidRPr="00683122" w:rsidRDefault="00683122" w:rsidP="00F0094C">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683122">
              <w:t xml:space="preserve">Full Sun Protection is MANDATORY. This </w:t>
            </w:r>
            <w:r w:rsidR="00F0094C" w:rsidRPr="00F0094C">
              <w:t>includes</w:t>
            </w:r>
            <w:r w:rsidRPr="00683122">
              <w:t xml:space="preserve"> </w:t>
            </w:r>
            <w:r w:rsidR="00F0094C" w:rsidRPr="00F0094C">
              <w:t xml:space="preserve">- </w:t>
            </w:r>
            <w:r w:rsidRPr="00683122">
              <w:t>Hats, appropriate clothing, sunscreen, and seeking shade.</w:t>
            </w:r>
          </w:p>
        </w:tc>
      </w:tr>
      <w:tr w:rsidR="00683122" w:rsidRPr="00683122" w14:paraId="0B5CDAD3" w14:textId="77777777" w:rsidTr="00F0094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14072A" w14:textId="77777777" w:rsidR="00683122" w:rsidRPr="00683122" w:rsidRDefault="00683122" w:rsidP="00F0094C">
            <w:pPr>
              <w:spacing w:after="160" w:line="278" w:lineRule="auto"/>
              <w:jc w:val="center"/>
              <w:rPr>
                <w:b w:val="0"/>
                <w:bCs w:val="0"/>
              </w:rPr>
            </w:pPr>
            <w:r w:rsidRPr="00683122">
              <w:rPr>
                <w:b w:val="0"/>
                <w:bCs w:val="0"/>
              </w:rPr>
              <w:t>Below 3</w:t>
            </w:r>
          </w:p>
        </w:tc>
        <w:tc>
          <w:tcPr>
            <w:tcW w:w="0" w:type="auto"/>
            <w:vAlign w:val="center"/>
            <w:hideMark/>
          </w:tcPr>
          <w:p w14:paraId="49638E74" w14:textId="77777777" w:rsidR="00683122" w:rsidRPr="00683122" w:rsidRDefault="00683122" w:rsidP="00F0094C">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683122">
              <w:t>Sun protection is generally not required, but hats are encouraged during long periods of outdoor activity.</w:t>
            </w:r>
          </w:p>
        </w:tc>
      </w:tr>
    </w:tbl>
    <w:p w14:paraId="04438C99" w14:textId="77777777" w:rsidR="00683122" w:rsidRPr="00683122" w:rsidRDefault="00683122" w:rsidP="00F0094C">
      <w:pPr>
        <w:spacing w:before="240"/>
        <w:rPr>
          <w:b/>
          <w:bCs/>
        </w:rPr>
      </w:pPr>
      <w:r w:rsidRPr="00683122">
        <w:rPr>
          <w:b/>
          <w:bCs/>
        </w:rPr>
        <w:t>2.1 Sun Protection Measures (All Year, UV 3+)</w:t>
      </w:r>
    </w:p>
    <w:p w14:paraId="2E75890C" w14:textId="2CC8D970" w:rsidR="00683122" w:rsidRPr="00683122" w:rsidRDefault="00683122" w:rsidP="00683122">
      <w:pPr>
        <w:numPr>
          <w:ilvl w:val="0"/>
          <w:numId w:val="1"/>
        </w:numPr>
      </w:pPr>
      <w:r w:rsidRPr="00683122">
        <w:rPr>
          <w:b/>
          <w:bCs/>
        </w:rPr>
        <w:t>Shade:</w:t>
      </w:r>
      <w:r w:rsidRPr="00683122">
        <w:t xml:space="preserve"> Outdoor play is restricted to areas offering adequate natural (trees) or built shade (sails/verandah). Activities will be set up in the shade and moved as the sun moves. (NQS Element 3.2.3)</w:t>
      </w:r>
    </w:p>
    <w:p w14:paraId="6E17656D" w14:textId="2F7CF9E5" w:rsidR="00683122" w:rsidRPr="00683122" w:rsidRDefault="00683122" w:rsidP="00683122">
      <w:pPr>
        <w:numPr>
          <w:ilvl w:val="0"/>
          <w:numId w:val="1"/>
        </w:numPr>
      </w:pPr>
      <w:r w:rsidRPr="00683122">
        <w:rPr>
          <w:b/>
          <w:bCs/>
        </w:rPr>
        <w:t>Hats:</w:t>
      </w:r>
      <w:r w:rsidRPr="00683122">
        <w:t xml:space="preserve"> All children and staff must wear a sun-safe hat that protects the face, neck, and ears (e.g., broad-brimmed, bucket with 5cm+ brim, or Legionnaire style). Baseball caps are </w:t>
      </w:r>
      <w:r w:rsidRPr="00683122">
        <w:rPr>
          <w:i/>
          <w:iCs/>
        </w:rPr>
        <w:t>not</w:t>
      </w:r>
      <w:r w:rsidRPr="00683122">
        <w:t xml:space="preserve"> deemed </w:t>
      </w:r>
      <w:r w:rsidR="00F0094C" w:rsidRPr="00683122">
        <w:t>sun safe</w:t>
      </w:r>
      <w:r w:rsidRPr="00683122">
        <w:t>. (NQS Element 2.2.2)</w:t>
      </w:r>
    </w:p>
    <w:p w14:paraId="129AFF29" w14:textId="77777777" w:rsidR="00683122" w:rsidRPr="00683122" w:rsidRDefault="00683122" w:rsidP="00683122">
      <w:pPr>
        <w:numPr>
          <w:ilvl w:val="0"/>
          <w:numId w:val="1"/>
        </w:numPr>
      </w:pPr>
      <w:r w:rsidRPr="00683122">
        <w:rPr>
          <w:b/>
          <w:bCs/>
        </w:rPr>
        <w:lastRenderedPageBreak/>
        <w:t>Clothing:</w:t>
      </w:r>
      <w:r w:rsidRPr="00683122">
        <w:t xml:space="preserve"> Children must wear loose-fitting clothing that covers the shoulders, neck, and as much skin as possible (e.g., shirts with sleeves, longer shorts/skirts).</w:t>
      </w:r>
    </w:p>
    <w:p w14:paraId="5F3B8569" w14:textId="77777777" w:rsidR="00683122" w:rsidRPr="00683122" w:rsidRDefault="00683122" w:rsidP="00683122">
      <w:pPr>
        <w:numPr>
          <w:ilvl w:val="0"/>
          <w:numId w:val="1"/>
        </w:numPr>
      </w:pPr>
      <w:r w:rsidRPr="00683122">
        <w:rPr>
          <w:b/>
          <w:bCs/>
        </w:rPr>
        <w:t>Sunscreen:</w:t>
      </w:r>
      <w:r w:rsidRPr="00683122">
        <w:t xml:space="preserve"> </w:t>
      </w:r>
      <w:r w:rsidRPr="00683122">
        <w:rPr>
          <w:b/>
          <w:bCs/>
        </w:rPr>
        <w:t>SPF 30+ or higher, broad-spectrum, water-resistant sunscreen</w:t>
      </w:r>
      <w:r w:rsidRPr="00683122">
        <w:t xml:space="preserve"> must be applied to all exposed skin </w:t>
      </w:r>
      <w:r w:rsidRPr="00683122">
        <w:rPr>
          <w:b/>
          <w:bCs/>
        </w:rPr>
        <w:t>20 minutes before going outdoors</w:t>
      </w:r>
      <w:r w:rsidRPr="00683122">
        <w:t>. It is reapplied every two hours or more frequently if it has been wiped off (e.g., after water play). (NQS Element 2.2.2)</w:t>
      </w:r>
    </w:p>
    <w:p w14:paraId="0979EBDC" w14:textId="77777777" w:rsidR="00683122" w:rsidRPr="00683122" w:rsidRDefault="00683122" w:rsidP="00683122">
      <w:pPr>
        <w:rPr>
          <w:b/>
          <w:bCs/>
        </w:rPr>
      </w:pPr>
      <w:r w:rsidRPr="00683122">
        <w:rPr>
          <w:b/>
          <w:bCs/>
        </w:rPr>
        <w:t>3. High Air Temperature &amp; Extreme Heat Management</w:t>
      </w:r>
    </w:p>
    <w:p w14:paraId="2559FAD1" w14:textId="77777777" w:rsidR="00683122" w:rsidRPr="00683122" w:rsidRDefault="00683122" w:rsidP="00683122">
      <w:r w:rsidRPr="00683122">
        <w:t>Air temperature is a primary factor in managing the risk of heat stress and heat stroke, particularly for young children who are less efficient at regulating body temperature.</w:t>
      </w:r>
    </w:p>
    <w:tbl>
      <w:tblPr>
        <w:tblStyle w:val="PlainTable1"/>
        <w:tblW w:w="0" w:type="auto"/>
        <w:tblLook w:val="04A0" w:firstRow="1" w:lastRow="0" w:firstColumn="1" w:lastColumn="0" w:noHBand="0" w:noVBand="1"/>
      </w:tblPr>
      <w:tblGrid>
        <w:gridCol w:w="1874"/>
        <w:gridCol w:w="7142"/>
      </w:tblGrid>
      <w:tr w:rsidR="00683122" w:rsidRPr="00683122" w14:paraId="151FF56B" w14:textId="77777777" w:rsidTr="00F009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F7D7A1" w14:textId="77777777" w:rsidR="00683122" w:rsidRPr="00683122" w:rsidRDefault="00683122" w:rsidP="00F0094C">
            <w:pPr>
              <w:spacing w:after="160" w:line="278" w:lineRule="auto"/>
              <w:jc w:val="center"/>
            </w:pPr>
            <w:r w:rsidRPr="00683122">
              <w:t>Air Temperature (Ambient)</w:t>
            </w:r>
          </w:p>
        </w:tc>
        <w:tc>
          <w:tcPr>
            <w:tcW w:w="0" w:type="auto"/>
            <w:vAlign w:val="center"/>
            <w:hideMark/>
          </w:tcPr>
          <w:p w14:paraId="4A17FBB4" w14:textId="77777777" w:rsidR="00683122" w:rsidRPr="00683122" w:rsidRDefault="00683122" w:rsidP="00F0094C">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683122">
              <w:t>Outdoor Activity Protocol</w:t>
            </w:r>
          </w:p>
        </w:tc>
      </w:tr>
      <w:tr w:rsidR="00683122" w:rsidRPr="00683122" w14:paraId="2832CC15" w14:textId="77777777" w:rsidTr="00F0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16D939" w14:textId="77777777" w:rsidR="00683122" w:rsidRPr="00683122" w:rsidRDefault="00683122" w:rsidP="00F0094C">
            <w:pPr>
              <w:spacing w:after="160" w:line="278" w:lineRule="auto"/>
              <w:jc w:val="center"/>
              <w:rPr>
                <w:b w:val="0"/>
                <w:bCs w:val="0"/>
              </w:rPr>
            </w:pPr>
            <w:r w:rsidRPr="00683122">
              <w:rPr>
                <w:b w:val="0"/>
                <w:bCs w:val="0"/>
              </w:rPr>
              <w:t>28°C - 34°C</w:t>
            </w:r>
          </w:p>
        </w:tc>
        <w:tc>
          <w:tcPr>
            <w:tcW w:w="0" w:type="auto"/>
            <w:vAlign w:val="center"/>
            <w:hideMark/>
          </w:tcPr>
          <w:p w14:paraId="359820E5" w14:textId="77777777" w:rsidR="00683122" w:rsidRPr="00683122" w:rsidRDefault="00683122" w:rsidP="00F0094C">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683122">
              <w:t>Normal activity in shade. Increase rest breaks. Ensure constant access to water. Schedule high-energy play for cooler parts of the day.</w:t>
            </w:r>
          </w:p>
        </w:tc>
      </w:tr>
      <w:tr w:rsidR="00683122" w:rsidRPr="00683122" w14:paraId="338DD599" w14:textId="77777777" w:rsidTr="00F0094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CC01C5" w14:textId="77777777" w:rsidR="00683122" w:rsidRPr="00683122" w:rsidRDefault="00683122" w:rsidP="00F0094C">
            <w:pPr>
              <w:spacing w:after="160" w:line="278" w:lineRule="auto"/>
              <w:jc w:val="center"/>
              <w:rPr>
                <w:b w:val="0"/>
                <w:bCs w:val="0"/>
              </w:rPr>
            </w:pPr>
            <w:r w:rsidRPr="00683122">
              <w:rPr>
                <w:b w:val="0"/>
                <w:bCs w:val="0"/>
              </w:rPr>
              <w:t>35°C and Above</w:t>
            </w:r>
          </w:p>
        </w:tc>
        <w:tc>
          <w:tcPr>
            <w:tcW w:w="0" w:type="auto"/>
            <w:vAlign w:val="center"/>
            <w:hideMark/>
          </w:tcPr>
          <w:p w14:paraId="106CA8A1" w14:textId="77777777" w:rsidR="00683122" w:rsidRPr="00683122" w:rsidRDefault="00683122" w:rsidP="00F0094C">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683122">
              <w:t>Activity Modification/Restriction is MANDATORY. Limit outdoor play to quiet, sedentary activities (e.g., reading, puzzles) and only for very short periods (e.g., 10-15 minutes). Priority is given to indoor play in air-conditioned spaces.</w:t>
            </w:r>
          </w:p>
        </w:tc>
      </w:tr>
      <w:tr w:rsidR="00683122" w:rsidRPr="00683122" w14:paraId="7409DE30" w14:textId="77777777" w:rsidTr="00F0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3480F65" w14:textId="77777777" w:rsidR="00683122" w:rsidRPr="00683122" w:rsidRDefault="00683122" w:rsidP="00F0094C">
            <w:pPr>
              <w:spacing w:after="160" w:line="278" w:lineRule="auto"/>
              <w:jc w:val="center"/>
              <w:rPr>
                <w:b w:val="0"/>
                <w:bCs w:val="0"/>
              </w:rPr>
            </w:pPr>
            <w:r w:rsidRPr="00683122">
              <w:rPr>
                <w:b w:val="0"/>
                <w:bCs w:val="0"/>
              </w:rPr>
              <w:t>38°C and Above</w:t>
            </w:r>
          </w:p>
        </w:tc>
        <w:tc>
          <w:tcPr>
            <w:tcW w:w="0" w:type="auto"/>
            <w:vAlign w:val="center"/>
            <w:hideMark/>
          </w:tcPr>
          <w:p w14:paraId="5E837419" w14:textId="77777777" w:rsidR="00683122" w:rsidRPr="00683122" w:rsidRDefault="00683122" w:rsidP="00F0094C">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683122">
              <w:t>NO Outdoor Play. All children and staff remain indoors in the coolest, most comfortable, and air-conditioned environment. The indoor program will be modified to ensure large motor movement and exploration opportunities (i.e., bringing the 'outside in').</w:t>
            </w:r>
          </w:p>
        </w:tc>
      </w:tr>
    </w:tbl>
    <w:p w14:paraId="399DC1FC" w14:textId="77777777" w:rsidR="00683122" w:rsidRPr="00683122" w:rsidRDefault="00683122" w:rsidP="00F0094C">
      <w:pPr>
        <w:spacing w:before="240"/>
        <w:rPr>
          <w:b/>
          <w:bCs/>
        </w:rPr>
      </w:pPr>
      <w:r w:rsidRPr="00683122">
        <w:rPr>
          <w:b/>
          <w:bCs/>
        </w:rPr>
        <w:t>3.1 Hydration and Monitoring</w:t>
      </w:r>
    </w:p>
    <w:p w14:paraId="7427C5C6" w14:textId="77777777" w:rsidR="00683122" w:rsidRPr="00683122" w:rsidRDefault="00683122" w:rsidP="00683122">
      <w:pPr>
        <w:numPr>
          <w:ilvl w:val="0"/>
          <w:numId w:val="2"/>
        </w:numPr>
      </w:pPr>
      <w:r w:rsidRPr="00683122">
        <w:t>Children must have immediate and constant access to fresh drinking water at all times (indoors and outdoors).</w:t>
      </w:r>
    </w:p>
    <w:p w14:paraId="34DB25FB" w14:textId="77777777" w:rsidR="00683122" w:rsidRPr="00683122" w:rsidRDefault="00683122" w:rsidP="00683122">
      <w:pPr>
        <w:numPr>
          <w:ilvl w:val="0"/>
          <w:numId w:val="2"/>
        </w:numPr>
      </w:pPr>
      <w:r w:rsidRPr="00683122">
        <w:t>Educators will actively encourage and remind children to drink frequently, even if they do not express thirst.</w:t>
      </w:r>
    </w:p>
    <w:p w14:paraId="564CDB22" w14:textId="77777777" w:rsidR="00683122" w:rsidRDefault="00683122" w:rsidP="00683122">
      <w:pPr>
        <w:numPr>
          <w:ilvl w:val="0"/>
          <w:numId w:val="2"/>
        </w:numPr>
      </w:pPr>
      <w:r w:rsidRPr="00683122">
        <w:t>Educators must be vigilant in monitoring children for signs of heat stress (flushed skin, lethargy, irritability, clammy skin). Immediate first aid procedures will be followed if symptoms appear. (Reg 85)</w:t>
      </w:r>
    </w:p>
    <w:p w14:paraId="779B654E" w14:textId="77777777" w:rsidR="00F0094C" w:rsidRDefault="00F0094C" w:rsidP="00F0094C"/>
    <w:p w14:paraId="1890B68B" w14:textId="77777777" w:rsidR="00F0094C" w:rsidRPr="00683122" w:rsidRDefault="00F0094C" w:rsidP="00F0094C"/>
    <w:p w14:paraId="5D7F9618" w14:textId="77777777" w:rsidR="00683122" w:rsidRPr="00683122" w:rsidRDefault="00683122" w:rsidP="00683122">
      <w:pPr>
        <w:rPr>
          <w:b/>
          <w:bCs/>
        </w:rPr>
      </w:pPr>
      <w:r w:rsidRPr="00683122">
        <w:rPr>
          <w:b/>
          <w:bCs/>
        </w:rPr>
        <w:lastRenderedPageBreak/>
        <w:t>4. Equipment and Surface Temperature Limits</w:t>
      </w:r>
    </w:p>
    <w:p w14:paraId="02AE0265" w14:textId="77777777" w:rsidR="00683122" w:rsidRPr="00683122" w:rsidRDefault="00683122" w:rsidP="00683122">
      <w:r w:rsidRPr="00683122">
        <w:t>Surfaces can heat up significantly higher than the ambient air temperature, posing a serious burn risk (contact burns).</w:t>
      </w:r>
    </w:p>
    <w:tbl>
      <w:tblPr>
        <w:tblStyle w:val="PlainTable1"/>
        <w:tblW w:w="0" w:type="auto"/>
        <w:tblLook w:val="04A0" w:firstRow="1" w:lastRow="0" w:firstColumn="1" w:lastColumn="0" w:noHBand="0" w:noVBand="1"/>
      </w:tblPr>
      <w:tblGrid>
        <w:gridCol w:w="2382"/>
        <w:gridCol w:w="1994"/>
        <w:gridCol w:w="4640"/>
      </w:tblGrid>
      <w:tr w:rsidR="00683122" w:rsidRPr="00683122" w14:paraId="3A79EE90" w14:textId="77777777" w:rsidTr="00F009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9E90D7" w14:textId="77777777" w:rsidR="00683122" w:rsidRPr="00683122" w:rsidRDefault="00683122" w:rsidP="00F0094C">
            <w:pPr>
              <w:spacing w:after="160" w:line="278" w:lineRule="auto"/>
              <w:jc w:val="center"/>
            </w:pPr>
            <w:r w:rsidRPr="00683122">
              <w:t>Surface Type</w:t>
            </w:r>
          </w:p>
        </w:tc>
        <w:tc>
          <w:tcPr>
            <w:tcW w:w="0" w:type="auto"/>
            <w:vAlign w:val="center"/>
            <w:hideMark/>
          </w:tcPr>
          <w:p w14:paraId="26277222" w14:textId="77777777" w:rsidR="00683122" w:rsidRPr="00683122" w:rsidRDefault="00683122" w:rsidP="00F0094C">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683122">
              <w:t>Maximum Safe Temperature</w:t>
            </w:r>
          </w:p>
        </w:tc>
        <w:tc>
          <w:tcPr>
            <w:tcW w:w="0" w:type="auto"/>
            <w:vAlign w:val="center"/>
            <w:hideMark/>
          </w:tcPr>
          <w:p w14:paraId="52524DA7" w14:textId="77777777" w:rsidR="00683122" w:rsidRPr="00683122" w:rsidRDefault="00683122" w:rsidP="00F0094C">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683122">
              <w:t>Action if Limit Exceeded</w:t>
            </w:r>
          </w:p>
        </w:tc>
      </w:tr>
      <w:tr w:rsidR="00683122" w:rsidRPr="00683122" w14:paraId="4C245642" w14:textId="77777777" w:rsidTr="00F0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C1DD8E" w14:textId="77777777" w:rsidR="00683122" w:rsidRPr="00683122" w:rsidRDefault="00683122" w:rsidP="00683122">
            <w:pPr>
              <w:spacing w:after="160" w:line="278" w:lineRule="auto"/>
              <w:rPr>
                <w:b w:val="0"/>
                <w:bCs w:val="0"/>
              </w:rPr>
            </w:pPr>
            <w:r w:rsidRPr="00683122">
              <w:rPr>
                <w:b w:val="0"/>
                <w:bCs w:val="0"/>
              </w:rPr>
              <w:t>Metal (slides, poles, guardrails)</w:t>
            </w:r>
          </w:p>
        </w:tc>
        <w:tc>
          <w:tcPr>
            <w:tcW w:w="0" w:type="auto"/>
            <w:hideMark/>
          </w:tcPr>
          <w:p w14:paraId="125D8939" w14:textId="77777777" w:rsidR="00683122" w:rsidRPr="00683122" w:rsidRDefault="00683122" w:rsidP="00683122">
            <w:pPr>
              <w:spacing w:after="160" w:line="278" w:lineRule="auto"/>
              <w:cnfStyle w:val="000000100000" w:firstRow="0" w:lastRow="0" w:firstColumn="0" w:lastColumn="0" w:oddVBand="0" w:evenVBand="0" w:oddHBand="1" w:evenHBand="0" w:firstRowFirstColumn="0" w:firstRowLastColumn="0" w:lastRowFirstColumn="0" w:lastRowLastColumn="0"/>
            </w:pPr>
            <w:r w:rsidRPr="00683122">
              <w:t>Below 50°C</w:t>
            </w:r>
          </w:p>
        </w:tc>
        <w:tc>
          <w:tcPr>
            <w:tcW w:w="0" w:type="auto"/>
            <w:hideMark/>
          </w:tcPr>
          <w:p w14:paraId="29661445" w14:textId="77777777" w:rsidR="00683122" w:rsidRPr="00683122" w:rsidRDefault="00683122" w:rsidP="00683122">
            <w:pPr>
              <w:spacing w:after="160" w:line="278" w:lineRule="auto"/>
              <w:cnfStyle w:val="000000100000" w:firstRow="0" w:lastRow="0" w:firstColumn="0" w:lastColumn="0" w:oddVBand="0" w:evenVBand="0" w:oddHBand="1" w:evenHBand="0" w:firstRowFirstColumn="0" w:firstRowLastColumn="0" w:lastRowFirstColumn="0" w:lastRowLastColumn="0"/>
            </w:pPr>
            <w:r w:rsidRPr="00683122">
              <w:t>Prohibit use of equipment. Cover the equipment or spray with a small amount of cool water (avoiding steam risk) if needed, and re-test.</w:t>
            </w:r>
          </w:p>
        </w:tc>
      </w:tr>
      <w:tr w:rsidR="00683122" w:rsidRPr="00683122" w14:paraId="2F290230" w14:textId="77777777" w:rsidTr="00F0094C">
        <w:tc>
          <w:tcPr>
            <w:cnfStyle w:val="001000000000" w:firstRow="0" w:lastRow="0" w:firstColumn="1" w:lastColumn="0" w:oddVBand="0" w:evenVBand="0" w:oddHBand="0" w:evenHBand="0" w:firstRowFirstColumn="0" w:firstRowLastColumn="0" w:lastRowFirstColumn="0" w:lastRowLastColumn="0"/>
            <w:tcW w:w="0" w:type="auto"/>
            <w:hideMark/>
          </w:tcPr>
          <w:p w14:paraId="290E0ED9" w14:textId="77777777" w:rsidR="00683122" w:rsidRPr="00683122" w:rsidRDefault="00683122" w:rsidP="00683122">
            <w:pPr>
              <w:spacing w:after="160" w:line="278" w:lineRule="auto"/>
              <w:rPr>
                <w:b w:val="0"/>
                <w:bCs w:val="0"/>
              </w:rPr>
            </w:pPr>
            <w:r w:rsidRPr="00683122">
              <w:rPr>
                <w:b w:val="0"/>
                <w:bCs w:val="0"/>
              </w:rPr>
              <w:t>Dark Rubber/Synthetic Grass</w:t>
            </w:r>
          </w:p>
        </w:tc>
        <w:tc>
          <w:tcPr>
            <w:tcW w:w="0" w:type="auto"/>
            <w:hideMark/>
          </w:tcPr>
          <w:p w14:paraId="1B5C71C0" w14:textId="77777777" w:rsidR="00683122" w:rsidRPr="00683122" w:rsidRDefault="00683122" w:rsidP="00683122">
            <w:pPr>
              <w:spacing w:after="160" w:line="278" w:lineRule="auto"/>
              <w:cnfStyle w:val="000000000000" w:firstRow="0" w:lastRow="0" w:firstColumn="0" w:lastColumn="0" w:oddVBand="0" w:evenVBand="0" w:oddHBand="0" w:evenHBand="0" w:firstRowFirstColumn="0" w:firstRowLastColumn="0" w:lastRowFirstColumn="0" w:lastRowLastColumn="0"/>
            </w:pPr>
            <w:r w:rsidRPr="00683122">
              <w:t>Below 50°C</w:t>
            </w:r>
          </w:p>
        </w:tc>
        <w:tc>
          <w:tcPr>
            <w:tcW w:w="0" w:type="auto"/>
            <w:hideMark/>
          </w:tcPr>
          <w:p w14:paraId="4484A133" w14:textId="77777777" w:rsidR="00683122" w:rsidRPr="00683122" w:rsidRDefault="00683122" w:rsidP="00683122">
            <w:pPr>
              <w:spacing w:after="160" w:line="278" w:lineRule="auto"/>
              <w:cnfStyle w:val="000000000000" w:firstRow="0" w:lastRow="0" w:firstColumn="0" w:lastColumn="0" w:oddVBand="0" w:evenVBand="0" w:oddHBand="0" w:evenHBand="0" w:firstRowFirstColumn="0" w:firstRowLastColumn="0" w:lastRowFirstColumn="0" w:lastRowLastColumn="0"/>
            </w:pPr>
            <w:r w:rsidRPr="00683122">
              <w:t>Prohibit access to the hot area. Ensure children wear shoes in all outdoor areas (except sandpit/mud).</w:t>
            </w:r>
          </w:p>
        </w:tc>
      </w:tr>
      <w:tr w:rsidR="00683122" w:rsidRPr="00683122" w14:paraId="63D8E704" w14:textId="77777777" w:rsidTr="00F0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45AB0D" w14:textId="77777777" w:rsidR="00683122" w:rsidRPr="00683122" w:rsidRDefault="00683122" w:rsidP="00683122">
            <w:pPr>
              <w:spacing w:after="160" w:line="278" w:lineRule="auto"/>
              <w:rPr>
                <w:b w:val="0"/>
                <w:bCs w:val="0"/>
              </w:rPr>
            </w:pPr>
            <w:r w:rsidRPr="00683122">
              <w:rPr>
                <w:b w:val="0"/>
                <w:bCs w:val="0"/>
              </w:rPr>
              <w:t>Asphalt/Concrete</w:t>
            </w:r>
          </w:p>
        </w:tc>
        <w:tc>
          <w:tcPr>
            <w:tcW w:w="0" w:type="auto"/>
            <w:hideMark/>
          </w:tcPr>
          <w:p w14:paraId="32BFF3BB" w14:textId="77777777" w:rsidR="00683122" w:rsidRPr="00683122" w:rsidRDefault="00683122" w:rsidP="00683122">
            <w:pPr>
              <w:spacing w:after="160" w:line="278" w:lineRule="auto"/>
              <w:cnfStyle w:val="000000100000" w:firstRow="0" w:lastRow="0" w:firstColumn="0" w:lastColumn="0" w:oddVBand="0" w:evenVBand="0" w:oddHBand="1" w:evenHBand="0" w:firstRowFirstColumn="0" w:firstRowLastColumn="0" w:lastRowFirstColumn="0" w:lastRowLastColumn="0"/>
            </w:pPr>
            <w:r w:rsidRPr="00683122">
              <w:t>Below 50°C</w:t>
            </w:r>
          </w:p>
        </w:tc>
        <w:tc>
          <w:tcPr>
            <w:tcW w:w="0" w:type="auto"/>
            <w:hideMark/>
          </w:tcPr>
          <w:p w14:paraId="08F616E4" w14:textId="77777777" w:rsidR="00683122" w:rsidRPr="00683122" w:rsidRDefault="00683122" w:rsidP="00683122">
            <w:pPr>
              <w:spacing w:after="160" w:line="278" w:lineRule="auto"/>
              <w:cnfStyle w:val="000000100000" w:firstRow="0" w:lastRow="0" w:firstColumn="0" w:lastColumn="0" w:oddVBand="0" w:evenVBand="0" w:oddHBand="1" w:evenHBand="0" w:firstRowFirstColumn="0" w:firstRowLastColumn="0" w:lastRowFirstColumn="0" w:lastRowLastColumn="0"/>
            </w:pPr>
            <w:r w:rsidRPr="00683122">
              <w:t>Restrict access. Re-route pathways to shaded areas only.</w:t>
            </w:r>
          </w:p>
        </w:tc>
      </w:tr>
    </w:tbl>
    <w:p w14:paraId="13237B84" w14:textId="77777777" w:rsidR="00683122" w:rsidRPr="00683122" w:rsidRDefault="00683122" w:rsidP="00F0094C">
      <w:pPr>
        <w:spacing w:before="240"/>
        <w:rPr>
          <w:b/>
          <w:bCs/>
        </w:rPr>
      </w:pPr>
      <w:r w:rsidRPr="00683122">
        <w:rPr>
          <w:b/>
          <w:bCs/>
        </w:rPr>
        <w:t>4.1 Daily Safety Check Procedure (Reg 103)</w:t>
      </w:r>
    </w:p>
    <w:p w14:paraId="5346427B" w14:textId="77777777" w:rsidR="00683122" w:rsidRPr="00683122" w:rsidRDefault="00683122" w:rsidP="00683122">
      <w:pPr>
        <w:numPr>
          <w:ilvl w:val="0"/>
          <w:numId w:val="3"/>
        </w:numPr>
      </w:pPr>
      <w:r w:rsidRPr="00683122">
        <w:rPr>
          <w:b/>
          <w:bCs/>
        </w:rPr>
        <w:t>Timing:</w:t>
      </w:r>
      <w:r w:rsidRPr="00683122">
        <w:t xml:space="preserve"> Surface temperature checks must be conducted daily during summer months, or anytime the ambient temperature is forecast above 30°C.</w:t>
      </w:r>
    </w:p>
    <w:p w14:paraId="4971461E" w14:textId="77777777" w:rsidR="00683122" w:rsidRPr="00683122" w:rsidRDefault="00683122" w:rsidP="00683122">
      <w:pPr>
        <w:numPr>
          <w:ilvl w:val="0"/>
          <w:numId w:val="3"/>
        </w:numPr>
      </w:pPr>
      <w:r w:rsidRPr="00683122">
        <w:rPr>
          <w:b/>
          <w:bCs/>
        </w:rPr>
        <w:t>Method:</w:t>
      </w:r>
      <w:r w:rsidRPr="00683122">
        <w:t xml:space="preserve"> An educator will check all exposed high-risk surfaces (especially metal, dark rubber, and sunny patches) by placing their hand firmly on the surface. If they cannot comfortably hold their hand there for a slow count of </w:t>
      </w:r>
      <w:r w:rsidRPr="00683122">
        <w:rPr>
          <w:b/>
          <w:bCs/>
        </w:rPr>
        <w:t>five seconds</w:t>
      </w:r>
      <w:r w:rsidRPr="00683122">
        <w:t xml:space="preserve">, the surface is deemed unsafe. A thermometer may also be used, with the absolute maximum safety limit being </w:t>
      </w:r>
      <w:r w:rsidRPr="00683122">
        <w:rPr>
          <w:b/>
          <w:bCs/>
        </w:rPr>
        <w:t>49°C</w:t>
      </w:r>
      <w:r w:rsidRPr="00683122">
        <w:t>.</w:t>
      </w:r>
    </w:p>
    <w:p w14:paraId="199BDA26" w14:textId="77777777" w:rsidR="00683122" w:rsidRPr="00683122" w:rsidRDefault="00683122" w:rsidP="00683122">
      <w:pPr>
        <w:numPr>
          <w:ilvl w:val="0"/>
          <w:numId w:val="3"/>
        </w:numPr>
      </w:pPr>
      <w:r w:rsidRPr="00683122">
        <w:rPr>
          <w:b/>
          <w:bCs/>
        </w:rPr>
        <w:t>Documentation:</w:t>
      </w:r>
      <w:r w:rsidRPr="00683122">
        <w:t xml:space="preserve"> Checks and any resulting modifications (e.g., "Slide closed due to heat") must be documented in the daily risk assessment log.</w:t>
      </w:r>
    </w:p>
    <w:p w14:paraId="0B0C90D7" w14:textId="77777777" w:rsidR="00683122" w:rsidRPr="00683122" w:rsidRDefault="00683122" w:rsidP="00683122">
      <w:pPr>
        <w:rPr>
          <w:b/>
          <w:bCs/>
        </w:rPr>
      </w:pPr>
      <w:r w:rsidRPr="00683122">
        <w:rPr>
          <w:b/>
          <w:bCs/>
        </w:rPr>
        <w:t>5. Legislative and Framework Links</w:t>
      </w:r>
    </w:p>
    <w:p w14:paraId="7C1D41F2" w14:textId="77777777" w:rsidR="00683122" w:rsidRDefault="00683122" w:rsidP="00683122">
      <w:r w:rsidRPr="00683122">
        <w:t>This policy ensures the service meets its obligations under the following legislation and frameworks:</w:t>
      </w:r>
    </w:p>
    <w:tbl>
      <w:tblPr>
        <w:tblStyle w:val="PlainTable1"/>
        <w:tblW w:w="0" w:type="auto"/>
        <w:tblLook w:val="04A0" w:firstRow="1" w:lastRow="0" w:firstColumn="1" w:lastColumn="0" w:noHBand="0" w:noVBand="1"/>
      </w:tblPr>
      <w:tblGrid>
        <w:gridCol w:w="1846"/>
        <w:gridCol w:w="3693"/>
        <w:gridCol w:w="3477"/>
      </w:tblGrid>
      <w:tr w:rsidR="00683122" w:rsidRPr="00683122" w14:paraId="0DF8D29A" w14:textId="77777777" w:rsidTr="00F009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977E9D0" w14:textId="77777777" w:rsidR="00683122" w:rsidRPr="00683122" w:rsidRDefault="00683122" w:rsidP="00F0094C">
            <w:pPr>
              <w:spacing w:after="160" w:line="278" w:lineRule="auto"/>
              <w:jc w:val="center"/>
            </w:pPr>
            <w:r w:rsidRPr="00683122">
              <w:t>Document</w:t>
            </w:r>
          </w:p>
        </w:tc>
        <w:tc>
          <w:tcPr>
            <w:tcW w:w="0" w:type="auto"/>
            <w:vAlign w:val="center"/>
            <w:hideMark/>
          </w:tcPr>
          <w:p w14:paraId="58517EA4" w14:textId="77777777" w:rsidR="00683122" w:rsidRPr="00683122" w:rsidRDefault="00683122" w:rsidP="00F0094C">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683122">
              <w:t>Relevant Section/Element</w:t>
            </w:r>
          </w:p>
        </w:tc>
        <w:tc>
          <w:tcPr>
            <w:tcW w:w="0" w:type="auto"/>
            <w:vAlign w:val="center"/>
            <w:hideMark/>
          </w:tcPr>
          <w:p w14:paraId="49744E9E" w14:textId="77777777" w:rsidR="00683122" w:rsidRPr="00683122" w:rsidRDefault="00683122" w:rsidP="00F0094C">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683122">
              <w:t>Application to This Policy</w:t>
            </w:r>
          </w:p>
        </w:tc>
      </w:tr>
      <w:tr w:rsidR="00683122" w:rsidRPr="00683122" w14:paraId="7A6D0219" w14:textId="77777777" w:rsidTr="00F0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B41133" w14:textId="77777777" w:rsidR="00683122" w:rsidRPr="00683122" w:rsidRDefault="00683122" w:rsidP="00683122">
            <w:pPr>
              <w:spacing w:after="160" w:line="278" w:lineRule="auto"/>
              <w:rPr>
                <w:b w:val="0"/>
                <w:bCs w:val="0"/>
              </w:rPr>
            </w:pPr>
            <w:r w:rsidRPr="00683122">
              <w:rPr>
                <w:b w:val="0"/>
                <w:bCs w:val="0"/>
              </w:rPr>
              <w:t xml:space="preserve">NSW Education and Care Services National </w:t>
            </w:r>
            <w:r w:rsidRPr="00683122">
              <w:rPr>
                <w:b w:val="0"/>
                <w:bCs w:val="0"/>
              </w:rPr>
              <w:lastRenderedPageBreak/>
              <w:t>Regulation 2011</w:t>
            </w:r>
          </w:p>
        </w:tc>
        <w:tc>
          <w:tcPr>
            <w:tcW w:w="0" w:type="auto"/>
            <w:hideMark/>
          </w:tcPr>
          <w:p w14:paraId="20048E4C" w14:textId="77777777" w:rsidR="00683122" w:rsidRPr="00683122" w:rsidRDefault="00683122" w:rsidP="00683122">
            <w:pPr>
              <w:spacing w:after="160" w:line="278" w:lineRule="auto"/>
              <w:cnfStyle w:val="000000100000" w:firstRow="0" w:lastRow="0" w:firstColumn="0" w:lastColumn="0" w:oddVBand="0" w:evenVBand="0" w:oddHBand="1" w:evenHBand="0" w:firstRowFirstColumn="0" w:firstRowLastColumn="0" w:lastRowFirstColumn="0" w:lastRowLastColumn="0"/>
            </w:pPr>
            <w:r w:rsidRPr="00683122">
              <w:lastRenderedPageBreak/>
              <w:t>Regulation 103: Premises, furniture and equipment to be safe, clean and in good repair.</w:t>
            </w:r>
          </w:p>
        </w:tc>
        <w:tc>
          <w:tcPr>
            <w:tcW w:w="0" w:type="auto"/>
            <w:hideMark/>
          </w:tcPr>
          <w:p w14:paraId="69D3B8FF" w14:textId="77777777" w:rsidR="00683122" w:rsidRPr="00683122" w:rsidRDefault="00683122" w:rsidP="00683122">
            <w:pPr>
              <w:spacing w:after="160" w:line="278" w:lineRule="auto"/>
              <w:cnfStyle w:val="000000100000" w:firstRow="0" w:lastRow="0" w:firstColumn="0" w:lastColumn="0" w:oddVBand="0" w:evenVBand="0" w:oddHBand="1" w:evenHBand="0" w:firstRowFirstColumn="0" w:firstRowLastColumn="0" w:lastRowFirstColumn="0" w:lastRowLastColumn="0"/>
            </w:pPr>
            <w:r w:rsidRPr="00683122">
              <w:t>Guides the requirement for the Equipment and Surface Temperature Limits and daily checks.</w:t>
            </w:r>
          </w:p>
        </w:tc>
      </w:tr>
      <w:tr w:rsidR="00683122" w:rsidRPr="00683122" w14:paraId="7BE6E87E" w14:textId="77777777" w:rsidTr="00F0094C">
        <w:tc>
          <w:tcPr>
            <w:cnfStyle w:val="001000000000" w:firstRow="0" w:lastRow="0" w:firstColumn="1" w:lastColumn="0" w:oddVBand="0" w:evenVBand="0" w:oddHBand="0" w:evenHBand="0" w:firstRowFirstColumn="0" w:firstRowLastColumn="0" w:lastRowFirstColumn="0" w:lastRowLastColumn="0"/>
            <w:tcW w:w="0" w:type="auto"/>
            <w:hideMark/>
          </w:tcPr>
          <w:p w14:paraId="42F675C3" w14:textId="77777777" w:rsidR="00683122" w:rsidRPr="00683122" w:rsidRDefault="00683122" w:rsidP="00683122">
            <w:pPr>
              <w:spacing w:after="160" w:line="278" w:lineRule="auto"/>
              <w:rPr>
                <w:b w:val="0"/>
                <w:bCs w:val="0"/>
              </w:rPr>
            </w:pPr>
          </w:p>
        </w:tc>
        <w:tc>
          <w:tcPr>
            <w:tcW w:w="0" w:type="auto"/>
            <w:hideMark/>
          </w:tcPr>
          <w:p w14:paraId="04109D46" w14:textId="77777777" w:rsidR="00683122" w:rsidRPr="00683122" w:rsidRDefault="00683122" w:rsidP="00683122">
            <w:pPr>
              <w:spacing w:after="160" w:line="278" w:lineRule="auto"/>
              <w:cnfStyle w:val="000000000000" w:firstRow="0" w:lastRow="0" w:firstColumn="0" w:lastColumn="0" w:oddVBand="0" w:evenVBand="0" w:oddHBand="0" w:evenHBand="0" w:firstRowFirstColumn="0" w:firstRowLastColumn="0" w:lastRowFirstColumn="0" w:lastRowLastColumn="0"/>
            </w:pPr>
            <w:r w:rsidRPr="00683122">
              <w:t>Regulation 77: Health, hygiene and safe food practices.</w:t>
            </w:r>
          </w:p>
        </w:tc>
        <w:tc>
          <w:tcPr>
            <w:tcW w:w="0" w:type="auto"/>
            <w:hideMark/>
          </w:tcPr>
          <w:p w14:paraId="0C6E3B55" w14:textId="77777777" w:rsidR="00683122" w:rsidRPr="00683122" w:rsidRDefault="00683122" w:rsidP="00683122">
            <w:pPr>
              <w:spacing w:after="160" w:line="278" w:lineRule="auto"/>
              <w:cnfStyle w:val="000000000000" w:firstRow="0" w:lastRow="0" w:firstColumn="0" w:lastColumn="0" w:oddVBand="0" w:evenVBand="0" w:oddHBand="0" w:evenHBand="0" w:firstRowFirstColumn="0" w:firstRowLastColumn="0" w:lastRowFirstColumn="0" w:lastRowLastColumn="0"/>
            </w:pPr>
            <w:r w:rsidRPr="00683122">
              <w:t>Supports the Hydration and Monitoring requirements.</w:t>
            </w:r>
          </w:p>
        </w:tc>
      </w:tr>
      <w:tr w:rsidR="00683122" w:rsidRPr="00683122" w14:paraId="7534E801" w14:textId="77777777" w:rsidTr="00F0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7227F3" w14:textId="77777777" w:rsidR="00683122" w:rsidRPr="00683122" w:rsidRDefault="00683122" w:rsidP="00683122">
            <w:pPr>
              <w:spacing w:after="160" w:line="278" w:lineRule="auto"/>
              <w:rPr>
                <w:b w:val="0"/>
                <w:bCs w:val="0"/>
              </w:rPr>
            </w:pPr>
            <w:r w:rsidRPr="00683122">
              <w:rPr>
                <w:b w:val="0"/>
                <w:bCs w:val="0"/>
              </w:rPr>
              <w:t>National Quality Standard (NQS)</w:t>
            </w:r>
          </w:p>
        </w:tc>
        <w:tc>
          <w:tcPr>
            <w:tcW w:w="0" w:type="auto"/>
            <w:hideMark/>
          </w:tcPr>
          <w:p w14:paraId="0A7390FD" w14:textId="77777777" w:rsidR="00683122" w:rsidRPr="00683122" w:rsidRDefault="00683122" w:rsidP="00683122">
            <w:pPr>
              <w:spacing w:after="160" w:line="278" w:lineRule="auto"/>
              <w:cnfStyle w:val="000000100000" w:firstRow="0" w:lastRow="0" w:firstColumn="0" w:lastColumn="0" w:oddVBand="0" w:evenVBand="0" w:oddHBand="1" w:evenHBand="0" w:firstRowFirstColumn="0" w:firstRowLastColumn="0" w:lastRowFirstColumn="0" w:lastRowLastColumn="0"/>
            </w:pPr>
            <w:r w:rsidRPr="00683122">
              <w:t>Quality Area 2 - Children's Health and Safety (Elements 2.1.2, 2.2.1, 2.2.2)</w:t>
            </w:r>
          </w:p>
        </w:tc>
        <w:tc>
          <w:tcPr>
            <w:tcW w:w="0" w:type="auto"/>
            <w:hideMark/>
          </w:tcPr>
          <w:p w14:paraId="0E8DE91E" w14:textId="77777777" w:rsidR="00683122" w:rsidRPr="00683122" w:rsidRDefault="00683122" w:rsidP="00683122">
            <w:pPr>
              <w:spacing w:after="160" w:line="278" w:lineRule="auto"/>
              <w:cnfStyle w:val="000000100000" w:firstRow="0" w:lastRow="0" w:firstColumn="0" w:lastColumn="0" w:oddVBand="0" w:evenVBand="0" w:oddHBand="1" w:evenHBand="0" w:firstRowFirstColumn="0" w:firstRowLastColumn="0" w:lastRowFirstColumn="0" w:lastRowLastColumn="0"/>
            </w:pPr>
            <w:r w:rsidRPr="00683122">
              <w:t>2.2.2: Management of injury and illness, which includes minimising the risk of heat stress, sunburn, and contact burns through appropriate policy and procedures.</w:t>
            </w:r>
          </w:p>
        </w:tc>
      </w:tr>
      <w:tr w:rsidR="00683122" w:rsidRPr="00683122" w14:paraId="6E9A87FD" w14:textId="77777777" w:rsidTr="00F0094C">
        <w:tc>
          <w:tcPr>
            <w:cnfStyle w:val="001000000000" w:firstRow="0" w:lastRow="0" w:firstColumn="1" w:lastColumn="0" w:oddVBand="0" w:evenVBand="0" w:oddHBand="0" w:evenHBand="0" w:firstRowFirstColumn="0" w:firstRowLastColumn="0" w:lastRowFirstColumn="0" w:lastRowLastColumn="0"/>
            <w:tcW w:w="0" w:type="auto"/>
            <w:hideMark/>
          </w:tcPr>
          <w:p w14:paraId="09B572D7" w14:textId="77777777" w:rsidR="00683122" w:rsidRPr="00683122" w:rsidRDefault="00683122" w:rsidP="00683122">
            <w:pPr>
              <w:spacing w:after="160" w:line="278" w:lineRule="auto"/>
              <w:rPr>
                <w:b w:val="0"/>
                <w:bCs w:val="0"/>
              </w:rPr>
            </w:pPr>
          </w:p>
        </w:tc>
        <w:tc>
          <w:tcPr>
            <w:tcW w:w="0" w:type="auto"/>
            <w:hideMark/>
          </w:tcPr>
          <w:p w14:paraId="11035AFB" w14:textId="77777777" w:rsidR="00683122" w:rsidRPr="00683122" w:rsidRDefault="00683122" w:rsidP="00683122">
            <w:pPr>
              <w:spacing w:after="160" w:line="278" w:lineRule="auto"/>
              <w:cnfStyle w:val="000000000000" w:firstRow="0" w:lastRow="0" w:firstColumn="0" w:lastColumn="0" w:oddVBand="0" w:evenVBand="0" w:oddHBand="0" w:evenHBand="0" w:firstRowFirstColumn="0" w:firstRowLastColumn="0" w:lastRowFirstColumn="0" w:lastRowLastColumn="0"/>
            </w:pPr>
            <w:r w:rsidRPr="00683122">
              <w:t>Quality Area 3 - Physical Environment (Element 3.2.3)</w:t>
            </w:r>
          </w:p>
        </w:tc>
        <w:tc>
          <w:tcPr>
            <w:tcW w:w="0" w:type="auto"/>
            <w:hideMark/>
          </w:tcPr>
          <w:p w14:paraId="48C5FD7D" w14:textId="77777777" w:rsidR="00683122" w:rsidRPr="00683122" w:rsidRDefault="00683122" w:rsidP="00683122">
            <w:pPr>
              <w:spacing w:after="160" w:line="278" w:lineRule="auto"/>
              <w:cnfStyle w:val="000000000000" w:firstRow="0" w:lastRow="0" w:firstColumn="0" w:lastColumn="0" w:oddVBand="0" w:evenVBand="0" w:oddHBand="0" w:evenHBand="0" w:firstRowFirstColumn="0" w:firstRowLastColumn="0" w:lastRowFirstColumn="0" w:lastRowLastColumn="0"/>
            </w:pPr>
            <w:r w:rsidRPr="00683122">
              <w:t>3.2.3: The service provides and maintains an environment that is safe, healthy, and provides appropriate levels of challenge. Requires adequate shade provision and equipment safety checks.</w:t>
            </w:r>
          </w:p>
        </w:tc>
      </w:tr>
      <w:tr w:rsidR="00683122" w:rsidRPr="00683122" w14:paraId="5AEE7EEA" w14:textId="77777777" w:rsidTr="00F0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5FDE1C" w14:textId="77777777" w:rsidR="00683122" w:rsidRPr="00683122" w:rsidRDefault="00683122" w:rsidP="00683122">
            <w:pPr>
              <w:spacing w:after="160" w:line="278" w:lineRule="auto"/>
              <w:rPr>
                <w:b w:val="0"/>
                <w:bCs w:val="0"/>
              </w:rPr>
            </w:pPr>
            <w:r w:rsidRPr="00683122">
              <w:rPr>
                <w:b w:val="0"/>
                <w:bCs w:val="0"/>
              </w:rPr>
              <w:t>Early Years Learning Framework (EYLF)</w:t>
            </w:r>
          </w:p>
        </w:tc>
        <w:tc>
          <w:tcPr>
            <w:tcW w:w="0" w:type="auto"/>
            <w:hideMark/>
          </w:tcPr>
          <w:p w14:paraId="2DD8B2E9" w14:textId="77777777" w:rsidR="00683122" w:rsidRPr="00683122" w:rsidRDefault="00683122" w:rsidP="00683122">
            <w:pPr>
              <w:spacing w:after="160" w:line="278" w:lineRule="auto"/>
              <w:cnfStyle w:val="000000100000" w:firstRow="0" w:lastRow="0" w:firstColumn="0" w:lastColumn="0" w:oddVBand="0" w:evenVBand="0" w:oddHBand="1" w:evenHBand="0" w:firstRowFirstColumn="0" w:firstRowLastColumn="0" w:lastRowFirstColumn="0" w:lastRowLastColumn="0"/>
            </w:pPr>
            <w:r w:rsidRPr="00683122">
              <w:t>Outcome 3 - Children have a strong sense of wellbeing.</w:t>
            </w:r>
          </w:p>
        </w:tc>
        <w:tc>
          <w:tcPr>
            <w:tcW w:w="0" w:type="auto"/>
            <w:hideMark/>
          </w:tcPr>
          <w:p w14:paraId="6D546D35" w14:textId="77777777" w:rsidR="00683122" w:rsidRPr="00683122" w:rsidRDefault="00683122" w:rsidP="00683122">
            <w:pPr>
              <w:spacing w:after="160" w:line="278" w:lineRule="auto"/>
              <w:cnfStyle w:val="000000100000" w:firstRow="0" w:lastRow="0" w:firstColumn="0" w:lastColumn="0" w:oddVBand="0" w:evenVBand="0" w:oddHBand="1" w:evenHBand="0" w:firstRowFirstColumn="0" w:firstRowLastColumn="0" w:lastRowFirstColumn="0" w:lastRowLastColumn="0"/>
            </w:pPr>
            <w:r w:rsidRPr="00683122">
              <w:t>Requires educators to protect children’s safety, including managing sun and heat risks, while promoting competence and physical health. This policy ensures physical safety, which underpins wellbeing.</w:t>
            </w:r>
          </w:p>
        </w:tc>
      </w:tr>
      <w:tr w:rsidR="00683122" w:rsidRPr="00683122" w14:paraId="5E732C98" w14:textId="77777777" w:rsidTr="00F0094C">
        <w:tc>
          <w:tcPr>
            <w:cnfStyle w:val="001000000000" w:firstRow="0" w:lastRow="0" w:firstColumn="1" w:lastColumn="0" w:oddVBand="0" w:evenVBand="0" w:oddHBand="0" w:evenHBand="0" w:firstRowFirstColumn="0" w:firstRowLastColumn="0" w:lastRowFirstColumn="0" w:lastRowLastColumn="0"/>
            <w:tcW w:w="0" w:type="auto"/>
            <w:hideMark/>
          </w:tcPr>
          <w:p w14:paraId="0A87D02C" w14:textId="77777777" w:rsidR="00683122" w:rsidRPr="00683122" w:rsidRDefault="00683122" w:rsidP="00683122">
            <w:pPr>
              <w:spacing w:after="160" w:line="278" w:lineRule="auto"/>
              <w:rPr>
                <w:b w:val="0"/>
                <w:bCs w:val="0"/>
              </w:rPr>
            </w:pPr>
          </w:p>
        </w:tc>
        <w:tc>
          <w:tcPr>
            <w:tcW w:w="0" w:type="auto"/>
            <w:hideMark/>
          </w:tcPr>
          <w:p w14:paraId="1749D073" w14:textId="77777777" w:rsidR="00683122" w:rsidRPr="00683122" w:rsidRDefault="00683122" w:rsidP="00683122">
            <w:pPr>
              <w:spacing w:after="160" w:line="278" w:lineRule="auto"/>
              <w:cnfStyle w:val="000000000000" w:firstRow="0" w:lastRow="0" w:firstColumn="0" w:lastColumn="0" w:oddVBand="0" w:evenVBand="0" w:oddHBand="0" w:evenHBand="0" w:firstRowFirstColumn="0" w:firstRowLastColumn="0" w:lastRowFirstColumn="0" w:lastRowLastColumn="0"/>
            </w:pPr>
            <w:r w:rsidRPr="00683122">
              <w:t>Outcome 2 - Children are connected with and contribute to their world.</w:t>
            </w:r>
          </w:p>
        </w:tc>
        <w:tc>
          <w:tcPr>
            <w:tcW w:w="0" w:type="auto"/>
            <w:hideMark/>
          </w:tcPr>
          <w:p w14:paraId="05CE828E" w14:textId="77777777" w:rsidR="00683122" w:rsidRPr="00683122" w:rsidRDefault="00683122" w:rsidP="00683122">
            <w:pPr>
              <w:spacing w:after="160" w:line="278" w:lineRule="auto"/>
              <w:cnfStyle w:val="000000000000" w:firstRow="0" w:lastRow="0" w:firstColumn="0" w:lastColumn="0" w:oddVBand="0" w:evenVBand="0" w:oddHBand="0" w:evenHBand="0" w:firstRowFirstColumn="0" w:firstRowLastColumn="0" w:lastRowFirstColumn="0" w:lastRowLastColumn="0"/>
            </w:pPr>
            <w:r w:rsidRPr="00683122">
              <w:t>Provides the framework for balancing risk mitigation with providing opportunities for children to engage with the natural environment safely.</w:t>
            </w:r>
          </w:p>
        </w:tc>
      </w:tr>
      <w:tr w:rsidR="00683122" w:rsidRPr="00683122" w14:paraId="53BD0010" w14:textId="77777777" w:rsidTr="00F0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82A71A" w14:textId="77777777" w:rsidR="00683122" w:rsidRPr="00683122" w:rsidRDefault="00683122" w:rsidP="00683122">
            <w:pPr>
              <w:spacing w:after="160" w:line="278" w:lineRule="auto"/>
              <w:rPr>
                <w:b w:val="0"/>
                <w:bCs w:val="0"/>
              </w:rPr>
            </w:pPr>
            <w:r w:rsidRPr="00683122">
              <w:rPr>
                <w:b w:val="0"/>
                <w:bCs w:val="0"/>
              </w:rPr>
              <w:t>NSW Work Health and Safety Act 2011</w:t>
            </w:r>
          </w:p>
        </w:tc>
        <w:tc>
          <w:tcPr>
            <w:tcW w:w="0" w:type="auto"/>
            <w:hideMark/>
          </w:tcPr>
          <w:p w14:paraId="465148CB" w14:textId="77777777" w:rsidR="00683122" w:rsidRPr="00683122" w:rsidRDefault="00683122" w:rsidP="00683122">
            <w:pPr>
              <w:spacing w:after="160" w:line="278" w:lineRule="auto"/>
              <w:cnfStyle w:val="000000100000" w:firstRow="0" w:lastRow="0" w:firstColumn="0" w:lastColumn="0" w:oddVBand="0" w:evenVBand="0" w:oddHBand="1" w:evenHBand="0" w:firstRowFirstColumn="0" w:firstRowLastColumn="0" w:lastRowFirstColumn="0" w:lastRowLastColumn="0"/>
            </w:pPr>
            <w:r w:rsidRPr="00683122">
              <w:t>General duty of care to ensure the health and safety of workers and others (including children) from risks arising from the work carried out by the Service (e.g., heat exposure, UV exposure).</w:t>
            </w:r>
          </w:p>
        </w:tc>
        <w:tc>
          <w:tcPr>
            <w:tcW w:w="0" w:type="auto"/>
            <w:hideMark/>
          </w:tcPr>
          <w:p w14:paraId="37625E00" w14:textId="77777777" w:rsidR="00683122" w:rsidRPr="00683122" w:rsidRDefault="00683122" w:rsidP="00683122">
            <w:pPr>
              <w:spacing w:after="160" w:line="278" w:lineRule="auto"/>
              <w:cnfStyle w:val="000000100000" w:firstRow="0" w:lastRow="0" w:firstColumn="0" w:lastColumn="0" w:oddVBand="0" w:evenVBand="0" w:oddHBand="1" w:evenHBand="0" w:firstRowFirstColumn="0" w:firstRowLastColumn="0" w:lastRowFirstColumn="0" w:lastRowLastColumn="0"/>
            </w:pPr>
            <w:r w:rsidRPr="00683122">
              <w:t>Ensures staff are protected and follow procedures to maintain a safe environment for all.</w:t>
            </w:r>
          </w:p>
        </w:tc>
      </w:tr>
    </w:tbl>
    <w:p w14:paraId="5889DCAC" w14:textId="77777777" w:rsidR="004F4B67" w:rsidRDefault="004F4B67"/>
    <w:sectPr w:rsidR="004F4B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6542"/>
    <w:multiLevelType w:val="multilevel"/>
    <w:tmpl w:val="D544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9E034B"/>
    <w:multiLevelType w:val="multilevel"/>
    <w:tmpl w:val="01F0D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99668A"/>
    <w:multiLevelType w:val="multilevel"/>
    <w:tmpl w:val="18F4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858909">
    <w:abstractNumId w:val="1"/>
  </w:num>
  <w:num w:numId="2" w16cid:durableId="683020018">
    <w:abstractNumId w:val="2"/>
  </w:num>
  <w:num w:numId="3" w16cid:durableId="195069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22"/>
    <w:rsid w:val="004F4B67"/>
    <w:rsid w:val="00562916"/>
    <w:rsid w:val="006113AA"/>
    <w:rsid w:val="00683122"/>
    <w:rsid w:val="006E0E9A"/>
    <w:rsid w:val="009C28DB"/>
    <w:rsid w:val="00B16CFC"/>
    <w:rsid w:val="00BB58CA"/>
    <w:rsid w:val="00BC08E0"/>
    <w:rsid w:val="00F009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8EFDE46"/>
  <w15:chartTrackingRefBased/>
  <w15:docId w15:val="{DD005265-96CB-4D39-88B2-2AACD7AD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122"/>
    <w:rPr>
      <w:rFonts w:eastAsiaTheme="majorEastAsia" w:cstheme="majorBidi"/>
      <w:color w:val="272727" w:themeColor="text1" w:themeTint="D8"/>
    </w:rPr>
  </w:style>
  <w:style w:type="paragraph" w:styleId="Title">
    <w:name w:val="Title"/>
    <w:basedOn w:val="Normal"/>
    <w:next w:val="Normal"/>
    <w:link w:val="TitleChar"/>
    <w:uiPriority w:val="10"/>
    <w:qFormat/>
    <w:rsid w:val="00683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122"/>
    <w:pPr>
      <w:spacing w:before="160"/>
      <w:jc w:val="center"/>
    </w:pPr>
    <w:rPr>
      <w:i/>
      <w:iCs/>
      <w:color w:val="404040" w:themeColor="text1" w:themeTint="BF"/>
    </w:rPr>
  </w:style>
  <w:style w:type="character" w:customStyle="1" w:styleId="QuoteChar">
    <w:name w:val="Quote Char"/>
    <w:basedOn w:val="DefaultParagraphFont"/>
    <w:link w:val="Quote"/>
    <w:uiPriority w:val="29"/>
    <w:rsid w:val="00683122"/>
    <w:rPr>
      <w:i/>
      <w:iCs/>
      <w:color w:val="404040" w:themeColor="text1" w:themeTint="BF"/>
    </w:rPr>
  </w:style>
  <w:style w:type="paragraph" w:styleId="ListParagraph">
    <w:name w:val="List Paragraph"/>
    <w:basedOn w:val="Normal"/>
    <w:uiPriority w:val="34"/>
    <w:qFormat/>
    <w:rsid w:val="00683122"/>
    <w:pPr>
      <w:ind w:left="720"/>
      <w:contextualSpacing/>
    </w:pPr>
  </w:style>
  <w:style w:type="character" w:styleId="IntenseEmphasis">
    <w:name w:val="Intense Emphasis"/>
    <w:basedOn w:val="DefaultParagraphFont"/>
    <w:uiPriority w:val="21"/>
    <w:qFormat/>
    <w:rsid w:val="00683122"/>
    <w:rPr>
      <w:i/>
      <w:iCs/>
      <w:color w:val="0F4761" w:themeColor="accent1" w:themeShade="BF"/>
    </w:rPr>
  </w:style>
  <w:style w:type="paragraph" w:styleId="IntenseQuote">
    <w:name w:val="Intense Quote"/>
    <w:basedOn w:val="Normal"/>
    <w:next w:val="Normal"/>
    <w:link w:val="IntenseQuoteChar"/>
    <w:uiPriority w:val="30"/>
    <w:qFormat/>
    <w:rsid w:val="00683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122"/>
    <w:rPr>
      <w:i/>
      <w:iCs/>
      <w:color w:val="0F4761" w:themeColor="accent1" w:themeShade="BF"/>
    </w:rPr>
  </w:style>
  <w:style w:type="character" w:styleId="IntenseReference">
    <w:name w:val="Intense Reference"/>
    <w:basedOn w:val="DefaultParagraphFont"/>
    <w:uiPriority w:val="32"/>
    <w:qFormat/>
    <w:rsid w:val="00683122"/>
    <w:rPr>
      <w:b/>
      <w:bCs/>
      <w:smallCaps/>
      <w:color w:val="0F4761" w:themeColor="accent1" w:themeShade="BF"/>
      <w:spacing w:val="5"/>
    </w:rPr>
  </w:style>
  <w:style w:type="paragraph" w:styleId="Header">
    <w:name w:val="header"/>
    <w:basedOn w:val="Normal"/>
    <w:link w:val="HeaderChar"/>
    <w:uiPriority w:val="99"/>
    <w:unhideWhenUsed/>
    <w:rsid w:val="00683122"/>
    <w:pPr>
      <w:tabs>
        <w:tab w:val="center" w:pos="4513"/>
        <w:tab w:val="right" w:pos="9026"/>
      </w:tabs>
      <w:spacing w:after="0" w:line="240" w:lineRule="auto"/>
    </w:pPr>
    <w:rPr>
      <w:rFonts w:ascii="Calibri" w:eastAsia="Calibri" w:hAnsi="Calibri" w:cs="Times New Roman"/>
      <w:kern w:val="0"/>
      <w:sz w:val="22"/>
      <w:szCs w:val="22"/>
      <w14:ligatures w14:val="none"/>
    </w:rPr>
  </w:style>
  <w:style w:type="character" w:customStyle="1" w:styleId="HeaderChar">
    <w:name w:val="Header Char"/>
    <w:basedOn w:val="DefaultParagraphFont"/>
    <w:link w:val="Header"/>
    <w:uiPriority w:val="99"/>
    <w:rsid w:val="00683122"/>
    <w:rPr>
      <w:rFonts w:ascii="Calibri" w:eastAsia="Calibri" w:hAnsi="Calibri" w:cs="Times New Roman"/>
      <w:kern w:val="0"/>
      <w:sz w:val="22"/>
      <w:szCs w:val="22"/>
      <w14:ligatures w14:val="none"/>
    </w:rPr>
  </w:style>
  <w:style w:type="table" w:styleId="PlainTable1">
    <w:name w:val="Plain Table 1"/>
    <w:basedOn w:val="TableNormal"/>
    <w:uiPriority w:val="41"/>
    <w:rsid w:val="00F009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1029</Words>
  <Characters>5859</Characters>
  <Application>Microsoft Office Word</Application>
  <DocSecurity>0</DocSecurity>
  <Lines>154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 Manilla Community PreSchool</dc:creator>
  <cp:keywords/>
  <dc:description/>
  <cp:lastModifiedBy>Director - Manilla Community PreSchool</cp:lastModifiedBy>
  <cp:revision>3</cp:revision>
  <cp:lastPrinted>2025-11-25T00:10:00Z</cp:lastPrinted>
  <dcterms:created xsi:type="dcterms:W3CDTF">2025-11-24T23:34:00Z</dcterms:created>
  <dcterms:modified xsi:type="dcterms:W3CDTF">2025-11-25T00:42:00Z</dcterms:modified>
</cp:coreProperties>
</file>